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5C" w:rsidRDefault="007F245C" w:rsidP="007F245C">
      <w:pPr>
        <w:pStyle w:val="Nagwek1LGD"/>
      </w:pPr>
      <w:bookmarkStart w:id="0" w:name="_Toc378147358"/>
      <w:r>
        <w:t>Badanie ankietowe wśród beneficjentów</w:t>
      </w:r>
      <w:bookmarkEnd w:id="0"/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>Podstawowym celem badań ankietowych przeprowadzonych wśród beneficjentów projektu było określenie tego, w jaki sposób oceniają oni funkcjonowanie biura stowarzyszenia Lokalnej Grupy Działania „Natura i Kultura”. Dzięki przeprowadzonym badaniom ewaluacyjnym zostanie określona w sposób jednoznaczny i znormalizowany ocena funkcjonowania biura i pracowników.  Poza tym podstawowym celem, badanie ankietowe miało także dostarczyć wiedzy na temat zamierzeń beneficjentów odnoszących się do przyszłej współpracy ze stowarzyszeniem.</w:t>
      </w:r>
    </w:p>
    <w:p w:rsidR="007F245C" w:rsidRDefault="007F245C" w:rsidP="007F245C">
      <w:pPr>
        <w:pStyle w:val="Nagwek2LGD"/>
      </w:pPr>
      <w:bookmarkStart w:id="1" w:name="_Toc378147359"/>
      <w:r>
        <w:t>Wybrane aspekty metodologiczne badań ankietowych wśród beneficjentów</w:t>
      </w:r>
      <w:bookmarkEnd w:id="1"/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badaniu ankietowym przeprowadzonym wśród beneficjentów projektu ankietę skierowano jedynie do tych osób, prawnych lub fizycznych, które podpisały umowy w ramach procesu wdrażania Lokalnej Strategii Rozwoju. Zastosowany w badaniu dobór próby miał więc charakter celowy. Wykorzystanie tego schematu doboru respondentów było uzasadnione podstawowym celem tego badania – zebraniem ocen dotyczących funkcjonowania biura/pracowników. U podstaw założeń badawczych determinujących sposób dobru badanych legło przekonanie, że ocenić pracę biura i zatrudnionych pracowników mogą jedynie te osoby, które miały indywidualne doświadczenia we współpracy z biurem stowarzyszenia. Dodatkowo ważne było także i to, żeby doświadczenia badanych ze współpracy z biurem stowarzyszenia nie były incydentalne, gdyż w takim przypadku ferowane oceny cechują się dużą labilnością i są uzależnione od różnych czynników zewnętrznych pozostających poza kontrolą badacza.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Oceny dotyczące funkcjonowania biura LGD „Natura i Kultura” wyrażone przez beneficjentów projektu zostały zebrane przy wykorzystaniu techniki ankiety internetowej – formularz ankiety został przedstawiony w aneksie. W ankiecie dominowały pytania zamknięte i były skoncentrowane głównie na ocenach pracy biura i zatrudnionych tam pracowników.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procesie rekrutacji do badania wykorzystano bazę adresów mailowych beneficjentów projektu udostępnionych przez stowarzyszenie LGD „Natura i Kultura”. Drogą mailową zostało skierowane zaproszenie do badania, w którym zostały przedstawione najważniejsze informacje o celach przedsięwzięcia – treść zaproszenia znajduje się w aneksie. Mając na celu osiągnięcie możliwie wysokiego poziomu realizacji badania, po upływie tygodnia do tych spośród adresatów, którzy dotychczas nie wzięli udziału w badaniu, zostało wysłane drogą elektroniczną kolejne zaproszenie do wypełnienia ankiety. W efekcie badaniem ankietowym objęto 50% wszystkich beneficjentów programu – co należy uznać za relatywnie wysoki poziom realizacji </w:t>
      </w:r>
      <w:r>
        <w:rPr>
          <w:lang w:bidi="he-IL"/>
        </w:rPr>
        <w:lastRenderedPageBreak/>
        <w:t>badania. Badanie ankietowe wśród beneficjentów projektu zostało zrealizowane w IV kwartale 2013 roku.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>Zgodnie z założeniami badań ewaluacyjnych przedstawionymi w Lokalnej Strategii Rozwoju ocena funkcjonowania biura stowarzyszenia oraz zatrudnionych w biurze osób została dokonana na pięciopunktowej skali: gdzie 1 oznaczało bardzo źle, zaś 5 oznaczało ocenę bardzo dobrą. W stosunku do zakładanych i przedstawionych w Lokalnej Strategii Rozwoju wymiarów oceny funkcjonowania biura/pracowników w badaniu ankietowym uwzględniono większą liczbę aspektów, tak aby uzyskać szersze spektrum ocen</w:t>
      </w:r>
      <w:r>
        <w:rPr>
          <w:rStyle w:val="Odwoanieprzypisudolnego"/>
          <w:lang w:bidi="he-IL"/>
        </w:rPr>
        <w:footnoteReference w:id="1"/>
      </w:r>
      <w:r>
        <w:rPr>
          <w:lang w:bidi="he-IL"/>
        </w:rPr>
        <w:t xml:space="preserve">.  </w:t>
      </w:r>
    </w:p>
    <w:p w:rsidR="007F245C" w:rsidRDefault="007F245C" w:rsidP="007F245C">
      <w:pPr>
        <w:pStyle w:val="Nagwek2LGD"/>
      </w:pPr>
      <w:bookmarkStart w:id="2" w:name="_Toc378147360"/>
      <w:r>
        <w:t>Analiza wyników badań ankietowych</w:t>
      </w:r>
      <w:bookmarkEnd w:id="2"/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Wśród objętych badaniem ankietowym respondentów przeważały osoby prawne – 80% badanych stanowili przedstawiciele jednostek samorządu terytorialnego oraz organizacji pozarządowych. Z uwagi na jednorodność badanej zbiorowości pod względem statusu beneficjenta informacja ta nie może zostać wykorzystana jako zmienna objaśniająca ewentualne zróżnicowanie ocen pracy biura i pracowników. </w:t>
      </w:r>
    </w:p>
    <w:p w:rsidR="007F245C" w:rsidRDefault="007F245C" w:rsidP="007F245C">
      <w:pPr>
        <w:pStyle w:val="LGDPODST"/>
        <w:rPr>
          <w:rFonts w:eastAsia="Times New Roman"/>
          <w:lang w:eastAsia="pl-PL" w:bidi="he-IL"/>
        </w:rPr>
      </w:pPr>
      <w:r>
        <w:rPr>
          <w:rFonts w:eastAsia="Times New Roman"/>
          <w:lang w:eastAsia="pl-PL" w:bidi="he-IL"/>
        </w:rPr>
        <w:t xml:space="preserve">Wyrażający oceny beneficjenci różnili się pod względem liczby podpisanych umów. Ponad połowę stanowili ci, którzy podpisali co najwyżej dwie umowy w ramach wdrażania Lokalnej Strategii Rozwoju. Jednak w badanej zbiorowości dużą część stanowili także tacy, którzy podpisali cztery umowy bądź więcej. </w:t>
      </w:r>
    </w:p>
    <w:p w:rsidR="007F245C" w:rsidRDefault="007F245C" w:rsidP="007F245C">
      <w:pPr>
        <w:pStyle w:val="Tytuwykresu"/>
      </w:pPr>
      <w:r>
        <w:t xml:space="preserve">Rysunek </w:t>
      </w:r>
      <w:fldSimple w:instr=" SEQ Rysunek \* ARABIC ">
        <w:r>
          <w:rPr>
            <w:noProof/>
          </w:rPr>
          <w:t>44</w:t>
        </w:r>
      </w:fldSimple>
      <w:r>
        <w:t xml:space="preserve"> – Struktura beneficjentów według liczby podpisanych umów.</w:t>
      </w:r>
    </w:p>
    <w:p w:rsidR="007F245C" w:rsidRDefault="007F245C" w:rsidP="007F245C">
      <w:pPr>
        <w:pStyle w:val="LGDPODST"/>
        <w:ind w:firstLine="0"/>
        <w:jc w:val="center"/>
        <w:rPr>
          <w:rFonts w:eastAsia="Times New Roman"/>
          <w:lang w:eastAsia="pl-PL" w:bidi="he-IL"/>
        </w:rPr>
      </w:pPr>
      <w:r>
        <w:rPr>
          <w:rFonts w:eastAsia="Times New Roman"/>
          <w:noProof/>
          <w:lang w:eastAsia="pl-PL" w:bidi="ar-SA"/>
        </w:rPr>
        <w:drawing>
          <wp:inline distT="0" distB="0" distL="0" distR="0">
            <wp:extent cx="5010150" cy="2724150"/>
            <wp:effectExtent l="1905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ind w:firstLine="0"/>
        <w:rPr>
          <w:rFonts w:eastAsia="Times New Roman"/>
          <w:lang w:eastAsia="pl-PL" w:bidi="he-IL"/>
        </w:rPr>
      </w:pPr>
      <w:r>
        <w:rPr>
          <w:rFonts w:eastAsia="Times New Roman"/>
          <w:lang w:eastAsia="pl-PL" w:bidi="he-IL"/>
        </w:rPr>
        <w:lastRenderedPageBreak/>
        <w:t xml:space="preserve">Biorąc pod uwagę pewne zróżnicowanie badanych według liczby podpisanych umów, która wskazuje na ilość kontaktów z pracownikami biura, beneficjenci zostali podzieleni na dwie grupy tj. tych, którzy podpisali niewielką liczbę umów (jedną lub dwie) oraz tych, którzy przy pośrednictwie stowarzyszenia podpisali dużą liczbę umów (cztery i więcej). W dalszych analizach został uwzględniony podział beneficjentów na te dwie grupy, gdyż może on okazać się ważnym uwarunkowaniem wyrażanych ocen.  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Na początku ankiety objętym badaniem osobom zadano pytanie o ocenę uzyskanego wsparcia ze strony biura stowarzyszenia LGD „Natura i Kultura” w trakcie składania wniosków. Jak pokazują wyniki analiz beneficjenci przyznawali najwyższe noty - podkreślić przy tym należy, że wśród badanych nie było osób, które oceniły wsparcie ze strony biura nisko lub przeciętnie. Połowa z respondentów oceniła uzyskaną pomoc w trakcie składania wniosków ze strony biura „bardzo wysoko”, druga połowa zaś przyznała notę „wysoko”. </w:t>
      </w:r>
    </w:p>
    <w:p w:rsidR="007F245C" w:rsidRDefault="007F245C" w:rsidP="007F245C">
      <w:pPr>
        <w:pStyle w:val="Tytuwykresu"/>
      </w:pPr>
      <w:r>
        <w:t xml:space="preserve">Rysunek </w:t>
      </w:r>
      <w:fldSimple w:instr=" SEQ Rysunek \* ARABIC ">
        <w:r>
          <w:rPr>
            <w:noProof/>
          </w:rPr>
          <w:t>45</w:t>
        </w:r>
      </w:fldSimple>
      <w:r>
        <w:t xml:space="preserve"> – Rozkład odpowiedzi na pytanie: Proszę ocenić wsparcie uzyskane ze strony biura stowarzyszenia LGD „Natura i Kultura” w trakcie składania wniosków.</w:t>
      </w:r>
    </w:p>
    <w:p w:rsidR="007F245C" w:rsidRDefault="007F245C" w:rsidP="007F245C">
      <w:pPr>
        <w:pStyle w:val="LGDPODST"/>
        <w:ind w:firstLine="0"/>
        <w:jc w:val="center"/>
        <w:rPr>
          <w:lang w:bidi="he-IL"/>
        </w:rPr>
      </w:pPr>
      <w:r>
        <w:rPr>
          <w:noProof/>
          <w:lang w:eastAsia="pl-PL" w:bidi="ar-SA"/>
        </w:rPr>
        <w:drawing>
          <wp:inline distT="0" distB="0" distL="0" distR="0">
            <wp:extent cx="5010150" cy="2590800"/>
            <wp:effectExtent l="19050" t="0" r="0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świetle odpowiedzi na to wstępne pytanie już można stwierdzić, że zdaniem beneficjentów </w:t>
      </w:r>
      <w:proofErr w:type="spellStart"/>
      <w:r>
        <w:rPr>
          <w:lang w:bidi="he-IL"/>
        </w:rPr>
        <w:t>biuro</w:t>
      </w:r>
      <w:proofErr w:type="spellEnd"/>
      <w:r>
        <w:rPr>
          <w:lang w:bidi="he-IL"/>
        </w:rPr>
        <w:t xml:space="preserve"> stowarzyszenia LGD „Natura i Kultura” działa dobrze tj. służy wartościowym wsparciem dla wnioskodawców w trakcie najtrudniejszego etapu pozyskiwania środków finansowych na realizację pomysłów – przygotowywania dokumentacji przy składaniu wniosków.</w:t>
      </w:r>
    </w:p>
    <w:p w:rsidR="007F245C" w:rsidRDefault="007F245C" w:rsidP="007F245C">
      <w:pPr>
        <w:pStyle w:val="LGDPODST"/>
        <w:rPr>
          <w:rFonts w:ascii="Times New Roman" w:hAnsi="Times New Roman" w:cs="Times New Roman"/>
          <w:sz w:val="24"/>
          <w:lang w:eastAsia="pl-PL"/>
        </w:rPr>
      </w:pPr>
      <w:r>
        <w:rPr>
          <w:lang w:bidi="he-IL"/>
        </w:rPr>
        <w:t xml:space="preserve">Szczegółowa analiza z uwzględnieniem podziału badanych według liczby podpisanych umów pokazuje nieznaczne różnice ocen uzyskanej pomocy ze strony biura stowarzyszenia. Wśród tych beneficjentów, którzy podpisali większą liczbę umów w ramach projektu frakcja osób oceniających „bardzo wysoko” uzyskane wsparcie ze strony biura stowarzyszenia w okresie składania wniosków była wyższa niż wśród tych, którzy podpisali mniejszą liczbę umów w ramach projektu. </w:t>
      </w:r>
    </w:p>
    <w:p w:rsidR="007F245C" w:rsidRDefault="007F245C" w:rsidP="007F245C">
      <w:pPr>
        <w:pStyle w:val="Tytuwykresu"/>
      </w:pPr>
      <w:r>
        <w:lastRenderedPageBreak/>
        <w:t xml:space="preserve">Rysunek </w:t>
      </w:r>
      <w:fldSimple w:instr=" SEQ Rysunek \* ARABIC ">
        <w:r>
          <w:rPr>
            <w:noProof/>
          </w:rPr>
          <w:t>46</w:t>
        </w:r>
      </w:fldSimple>
      <w:r>
        <w:t xml:space="preserve"> – Rozkład odpowiedzi na pytanie: Proszę ocenić wsparcie uzyskane ze strony biura stowarzyszenia LGD „Natura i Kultura” w trakcie składania wniosków wśród beneficjentów różniących się liczbą podpisanych umów.</w:t>
      </w:r>
    </w:p>
    <w:p w:rsidR="007F245C" w:rsidRDefault="007F245C" w:rsidP="007F245C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010150" cy="2590800"/>
            <wp:effectExtent l="19050" t="0" r="0" b="0"/>
            <wp:docPr id="3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 xml:space="preserve">Jakkolwiek różnica między porównywanymi grupami nie jest duża, to jednak nasuwa ona przypuszczenie, że częstotliwość kontaktów beneficjentów z biurem – tym wyższa, im więcej zostało podpisanych umów – jest pewnym uwarunkowaniem ocen dotyczących uzyskanej pomocy.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kolejnym bloku pytań beneficjenci projektu zostali poproszeni o ocenę funkcjonowania biura oraz pracowników. W przypadku biura stowarzyszenia badani oceniali cztery wymiary funkcjonowania: rzetelność, terminowość, sprawność i ogólnie organizację pracy biura. W świetle uzyskanego materiału empirycznego należy powiedzieć, że badani ocenili wszystkie cztery wymiary funkcjonowania biura bardzo pozytywnie – o czym świadczą średnie oceny zbliżone do maksymalnego punktu skali pomiarowej 5 – który oznaczał ocenę bardzo dobrą. Jak wynika z zamieszczonych danych najwyżej beneficjenci ocenili „terminowość załatwiania spraw”, nieco niżej „sprawność działania biura”, następnie „organizację pracy biura” i na ostatnim miejscu znalazła się „rzetelność w realizacji zadań”. Biorąc pod uwagę bardzo wysokie noty każdego z ocenianych aspektów działania biura stowarzyszenia LGD „Natura i Kultura” należy stwierdzić, że w funkcjonowaniu biura nie występują żadne poważne usterki, które mogłyby wpływać negatywnie na jakość współpracy z wnioskodawcami i tym samym utrudniać proces wdrażania Lokalnej Strategii Rozwoju. </w:t>
      </w:r>
    </w:p>
    <w:p w:rsidR="007F245C" w:rsidRDefault="007F245C" w:rsidP="007F245C">
      <w:pPr>
        <w:pStyle w:val="LGDPODST"/>
        <w:rPr>
          <w:lang w:bidi="he-IL"/>
        </w:rPr>
      </w:pPr>
    </w:p>
    <w:p w:rsidR="007F245C" w:rsidRDefault="007F245C" w:rsidP="007F245C">
      <w:pPr>
        <w:pStyle w:val="Tytuwykresu"/>
      </w:pPr>
      <w:r>
        <w:lastRenderedPageBreak/>
        <w:t xml:space="preserve">Rysunek </w:t>
      </w:r>
      <w:fldSimple w:instr=" SEQ Rysunek \* ARABIC ">
        <w:r>
          <w:rPr>
            <w:noProof/>
          </w:rPr>
          <w:t>47</w:t>
        </w:r>
      </w:fldSimple>
      <w:r>
        <w:t xml:space="preserve"> – Średnie oceny wybranych aspektów funkcjonowania biura stowarzyszenia LGD „Natura i Kultura”.</w:t>
      </w: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  <w:r>
        <w:rPr>
          <w:noProof/>
          <w:lang w:eastAsia="pl-PL"/>
        </w:rPr>
        <w:drawing>
          <wp:inline distT="0" distB="0" distL="0" distR="0">
            <wp:extent cx="5010150" cy="2819400"/>
            <wp:effectExtent l="1905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Okazuje się, że oceny wybranych aspektów funkcjonowania biura wśród beneficjentów różniących się liczbą podpisanych umów nie są mocno zróżnicowane. Oznacza to, że niezależnie od częstotliwości kontaktów z biurem stowarzyszenia wnioskodawcy odnoszą bardzo podobne wrażenia odnośnie ocenianych aspektów funkcjonowania biura. </w:t>
      </w:r>
    </w:p>
    <w:p w:rsidR="007F245C" w:rsidRDefault="007F245C" w:rsidP="007F245C">
      <w:pPr>
        <w:pStyle w:val="Tytuwykresu"/>
        <w:keepNext w:val="0"/>
        <w:ind w:left="284"/>
      </w:pPr>
      <w:r>
        <w:t xml:space="preserve">Rysunek </w:t>
      </w:r>
      <w:fldSimple w:instr=" SEQ Rysunek \* ARABIC ">
        <w:r>
          <w:rPr>
            <w:noProof/>
          </w:rPr>
          <w:t>48</w:t>
        </w:r>
      </w:fldSimple>
      <w:r>
        <w:t xml:space="preserve"> – Średnie oceny wybranych aspektów funkcjonowania biura stowarzyszenia LGD „Natura i Kultura” wśród beneficjentów różniących się liczbą podpisanych umów.</w:t>
      </w:r>
    </w:p>
    <w:p w:rsidR="007F245C" w:rsidRDefault="007F245C" w:rsidP="007F245C">
      <w:pPr>
        <w:pStyle w:val="Tytuwykresu"/>
        <w:keepNext w:val="0"/>
        <w:ind w:left="284" w:right="113"/>
        <w:jc w:val="center"/>
      </w:pPr>
      <w:r>
        <w:rPr>
          <w:noProof/>
          <w:lang w:eastAsia="pl-PL"/>
        </w:rPr>
        <w:drawing>
          <wp:inline distT="0" distB="0" distL="0" distR="0">
            <wp:extent cx="5010150" cy="2819400"/>
            <wp:effectExtent l="19050" t="0" r="0" b="0"/>
            <wp:docPr id="5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Między respondentami różniącymi się liczbą podpisanych umów występuje w zasadzie jedna wyraźna różnica w ocenie działalności biura stowarzyszenia. Sprowadza się do tego, że beneficjenci, którzy podpisali większą liczbę umów w ramach wdrażania Lokalnej Strategii </w:t>
      </w:r>
      <w:r>
        <w:rPr>
          <w:lang w:bidi="he-IL"/>
        </w:rPr>
        <w:lastRenderedPageBreak/>
        <w:t xml:space="preserve">Rozwoju wyżej oceniają rzetelność w realizacji działań niż ci, którzy podpisali mniejszą liczbę umów.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>Konstruując syntetyczny miernik charakteryzujący funkcjonowanie biura w kontekście procesu wdrażania Lokalnej Strategii Rozwoju przyjęto następujące rozwiązanie:</w:t>
      </w:r>
    </w:p>
    <w:p w:rsidR="007F245C" w:rsidRDefault="007F245C" w:rsidP="007F245C">
      <w:pPr>
        <w:pStyle w:val="LGDPODST"/>
        <w:rPr>
          <w:rFonts w:eastAsia="Times New Roman"/>
          <w:lang w:eastAsia="pl-PL" w:bidi="he-IL"/>
        </w:rPr>
      </w:pPr>
      <w:r>
        <w:rPr>
          <w:lang w:bidi="he-IL"/>
        </w:rPr>
        <w:t>-  p</w:t>
      </w:r>
      <w:r>
        <w:rPr>
          <w:rFonts w:eastAsia="Times New Roman"/>
          <w:lang w:eastAsia="pl-PL" w:bidi="he-IL"/>
        </w:rPr>
        <w:t xml:space="preserve">o pierwsze, zgodnie ze algorytmem przedstawionym w LSR wyznaczono sumaryczny miernik obejmujący cztery oceniane aspekty funkcjonowania biura. Wartość tego miernika zawiera się w przedziale od 4 (skrajna hipotetyczna sytuacja, gdyby każdy z aspektów został oceniony na najniższą ocenę 1) do 20 (skrajna hipotetyczna sytuacja, gdyby każdy z aspektów został oceniony na najwyższą ocenę 5). </w:t>
      </w:r>
    </w:p>
    <w:p w:rsidR="007F245C" w:rsidRDefault="007F245C" w:rsidP="007F245C">
      <w:pPr>
        <w:pStyle w:val="LGDPODST"/>
        <w:rPr>
          <w:rFonts w:eastAsia="Times New Roman"/>
          <w:lang w:eastAsia="pl-PL" w:bidi="he-IL"/>
        </w:rPr>
      </w:pPr>
      <w:r>
        <w:rPr>
          <w:rFonts w:eastAsia="Times New Roman"/>
          <w:lang w:eastAsia="pl-PL" w:bidi="he-IL"/>
        </w:rPr>
        <w:t xml:space="preserve">- po drugie, określono średnią wartość sumarycznego wskaźnika, która w badanej zbiorowości wyniosła 17,86.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rFonts w:eastAsia="Times New Roman"/>
          <w:lang w:eastAsia="pl-PL" w:bidi="he-IL"/>
        </w:rPr>
        <w:t>- po trzecie, obliczono wskaźnik względny pozwalający przeliczyć uzyskany wynik punktowy na wartości procentowe według wzoru:</w:t>
      </w:r>
    </w:p>
    <w:p w:rsidR="007F245C" w:rsidRDefault="007F245C" w:rsidP="007F245C">
      <w:pPr>
        <w:pStyle w:val="Tytuwykresu"/>
        <w:keepNext w:val="0"/>
        <w:ind w:left="284" w:right="113"/>
        <w:jc w:val="left"/>
      </w:pPr>
      <w:r>
        <w:rPr>
          <w:position w:val="-30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4.5pt" o:ole="">
            <v:imagedata r:id="rId12" o:title=""/>
          </v:shape>
          <o:OLEObject Type="Embed" ProgID="Equation.3" ShapeID="_x0000_i1025" DrawAspect="Content" ObjectID="_1473822935" r:id="rId13"/>
        </w:objec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 xml:space="preserve">gdzie: 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proofErr w:type="spellStart"/>
      <w:r>
        <w:rPr>
          <w:lang w:bidi="he-IL"/>
        </w:rPr>
        <w:t>x</w:t>
      </w:r>
      <w:r>
        <w:rPr>
          <w:vertAlign w:val="subscript"/>
          <w:lang w:bidi="he-IL"/>
        </w:rPr>
        <w:t>emp</w:t>
      </w:r>
      <w:proofErr w:type="spellEnd"/>
      <w:r>
        <w:rPr>
          <w:vertAlign w:val="subscript"/>
          <w:lang w:bidi="he-IL"/>
        </w:rPr>
        <w:t xml:space="preserve"> </w:t>
      </w:r>
      <w:r>
        <w:rPr>
          <w:lang w:bidi="he-IL"/>
        </w:rPr>
        <w:t>– przeciętna empiryczna wartość sumarycznego wskaźnika,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proofErr w:type="spellStart"/>
      <w:r>
        <w:rPr>
          <w:lang w:bidi="he-IL"/>
        </w:rPr>
        <w:t>x</w:t>
      </w:r>
      <w:r>
        <w:rPr>
          <w:vertAlign w:val="subscript"/>
          <w:lang w:bidi="he-IL"/>
        </w:rPr>
        <w:t>min</w:t>
      </w:r>
      <w:proofErr w:type="spellEnd"/>
      <w:r>
        <w:rPr>
          <w:vertAlign w:val="subscript"/>
          <w:lang w:bidi="he-IL"/>
        </w:rPr>
        <w:t xml:space="preserve"> </w:t>
      </w:r>
      <w:r>
        <w:rPr>
          <w:lang w:bidi="he-IL"/>
        </w:rPr>
        <w:t>– przeciętna możliwa minimalna wartość sumarycznego wskaźnika,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proofErr w:type="spellStart"/>
      <w:r>
        <w:rPr>
          <w:lang w:bidi="he-IL"/>
        </w:rPr>
        <w:t>x</w:t>
      </w:r>
      <w:r>
        <w:rPr>
          <w:vertAlign w:val="subscript"/>
          <w:lang w:bidi="he-IL"/>
        </w:rPr>
        <w:t>max</w:t>
      </w:r>
      <w:proofErr w:type="spellEnd"/>
      <w:r>
        <w:rPr>
          <w:vertAlign w:val="subscript"/>
          <w:lang w:bidi="he-IL"/>
        </w:rPr>
        <w:t xml:space="preserve"> </w:t>
      </w:r>
      <w:r>
        <w:rPr>
          <w:lang w:bidi="he-IL"/>
        </w:rPr>
        <w:t>– przeciętna możliwa maksymalna wartość sumarycznego wskaźnika.</w:t>
      </w:r>
    </w:p>
    <w:p w:rsidR="007F245C" w:rsidRDefault="007F245C" w:rsidP="007F245C">
      <w:pPr>
        <w:pStyle w:val="LGDPODST"/>
        <w:ind w:firstLine="0"/>
        <w:rPr>
          <w:lang w:bidi="he-IL"/>
        </w:rPr>
      </w:pP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>Podstawiając do wzoru uzyskujemy: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position w:val="-24"/>
          <w:lang w:bidi="he-IL"/>
        </w:rPr>
        <w:object w:dxaOrig="4120" w:dyaOrig="620">
          <v:shape id="_x0000_i1026" type="#_x0000_t75" style="width:206.25pt;height:31.5pt" o:ole="">
            <v:imagedata r:id="rId14" o:title=""/>
          </v:shape>
          <o:OLEObject Type="Embed" ProgID="Equation.3" ShapeID="_x0000_i1026" DrawAspect="Content" ObjectID="_1473822936" r:id="rId15"/>
        </w:objec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>Okazuje się, że wartość syntetycznego miernika oceny pracy biura wyniosła ponad 86%.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 xml:space="preserve">W świetle kryteriów oceny pracy biura przedstawionych w Lokalnej Strategii Rozwoju, osiągnięcie  wartości wskaźnika poniżej 50% wymaga wprowadzenia koniecznych działań naprawczych. W oczywisty sposób wskaźnik charakteryzujący funkcjonowanie biura stowarzyszenia LGD „Natura i Kultura” zdecydowanie przekracza tą wartość krytyczną. I w świetle uzyskanego wskaźnika syntetycznego, który przyjmuje wartość 86% sytuację należy uznać za akceptowalną. Inaczej mówiąc funkcjonowanie biura stowarzyszenie jest poprawne i służy prawidłowej realizacji Lokalnej Strategii Rozwoju.    </w:t>
      </w:r>
    </w:p>
    <w:p w:rsidR="007F245C" w:rsidRDefault="007F245C" w:rsidP="007F245C">
      <w:pPr>
        <w:pStyle w:val="LGDPODST"/>
        <w:ind w:firstLine="0"/>
        <w:rPr>
          <w:lang w:bidi="he-IL"/>
        </w:rPr>
      </w:pPr>
    </w:p>
    <w:p w:rsidR="007F245C" w:rsidRDefault="007F245C" w:rsidP="007F245C">
      <w:pPr>
        <w:pStyle w:val="LGDPODST"/>
        <w:rPr>
          <w:lang w:bidi="he-IL"/>
        </w:rPr>
      </w:pP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lastRenderedPageBreak/>
        <w:t>Objętych badaniem respondentów poproszono także o ocenę sześciu aspektów/cech osób zatrudnionych w biurze stowarzyszenia. Wyniki badania unaoczniają, że beneficjenci także bardzo pozytywnie ocenili wybrane aspekty/cechy pracowników biura. Dodać można nawet, że przeciętne oceny pracowników biura były nieco wyższe od ocen charakteryzujących funkcjonowanie biura.</w:t>
      </w:r>
    </w:p>
    <w:p w:rsidR="007F245C" w:rsidRDefault="007F245C" w:rsidP="007F245C">
      <w:pPr>
        <w:pStyle w:val="Tytuwykresu"/>
        <w:ind w:right="113"/>
      </w:pPr>
      <w:r>
        <w:t xml:space="preserve">Rysunek </w:t>
      </w:r>
      <w:fldSimple w:instr=" SEQ Rysunek \* ARABIC ">
        <w:r>
          <w:rPr>
            <w:noProof/>
          </w:rPr>
          <w:t>49</w:t>
        </w:r>
      </w:fldSimple>
      <w:r>
        <w:t xml:space="preserve"> – Średnie oceny wybranych aspektów pracy pracowników biura stowarzyszenia LGD „Natura i Kultura”.</w:t>
      </w: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  <w:r>
        <w:rPr>
          <w:rFonts w:ascii="Arimo" w:eastAsia="SimSun" w:hAnsi="Arimo" w:cs="Arimo"/>
          <w:b/>
          <w:noProof/>
          <w:color w:val="31849B"/>
          <w:spacing w:val="24"/>
          <w:kern w:val="24"/>
          <w:position w:val="6"/>
          <w:sz w:val="30"/>
          <w:szCs w:val="30"/>
          <w:lang w:eastAsia="pl-PL"/>
        </w:rPr>
        <w:drawing>
          <wp:inline distT="0" distB="0" distL="0" distR="0">
            <wp:extent cx="4991100" cy="2619375"/>
            <wp:effectExtent l="19050" t="0" r="0" b="0"/>
            <wp:docPr id="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Beneficjenci projektu najwyżej ocenili „podejście pracowników biura do wnioskodawców”, nieznacznie niżej „komunikatywność pracowników” oraz „zaangażowanie pracowników w rozwiązywanie problemów”. Nieco niższe oceny, choć i tak bardzo wysokie, zostały przyznane takim charakterystykom pracowników jak: „użyteczność udzielanych informacji”, „łatwość kontaktu” oraz „przygotowanie merytoryczne”. Uzyskane dane dowodzą zatem, że osoby zatrudnione w biurze stowarzyszenia charakteryzuje pozytywne nastawienie wobec wnioskodawców oraz bardzo wysoki poziom zaangażowania w bieżącą pracę, w tym jak można domniemywać w świadczenie pomocy wnioskodawcom w skomplikowanych kwestiach formalnych.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Podobnie, jak w przypadku ocen funkcjonowania biura, tak i w przypadku pracowników beneficjenci różniący się liczbą podpisanych umów w sposób bardzo podobny formułowali swoje oceny. W świetle zgromadzonego materiału można zatem sformułować wniosek, iż niezależnie od częstotliwości kontaktów z pracownikami biura beneficjenci mają prawie takie same spostrzeżenia w zakresie aspektów/cech osób zatrudnionych w biurze LGD „Natura i Kultura”.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zasadzie pomiędzy grupami beneficjentów różniącymi się liczbą podpisanych umów występuje tylko jedna wyraźna różnica w ocenie pracowników biura stowarzyszenia. </w:t>
      </w:r>
    </w:p>
    <w:p w:rsidR="007F245C" w:rsidRDefault="007F245C" w:rsidP="007F245C">
      <w:pPr>
        <w:pStyle w:val="Tytuwykresu"/>
      </w:pPr>
      <w:r>
        <w:lastRenderedPageBreak/>
        <w:t xml:space="preserve">Rysunek </w:t>
      </w:r>
      <w:fldSimple w:instr=" SEQ Rysunek \* ARABIC ">
        <w:r>
          <w:rPr>
            <w:noProof/>
          </w:rPr>
          <w:t>50</w:t>
        </w:r>
      </w:fldSimple>
      <w:r>
        <w:t xml:space="preserve"> – Średnie oceny wybranych aspektów pracy pracowników biura stowarzyszenia LGD „Natura i Kultura” wśród beneficjentów różniących się liczbą podpisanych umów.</w:t>
      </w:r>
    </w:p>
    <w:p w:rsidR="007F245C" w:rsidRDefault="007F245C" w:rsidP="007F245C">
      <w:pPr>
        <w:pStyle w:val="LGDPODST"/>
        <w:ind w:firstLine="0"/>
        <w:jc w:val="center"/>
        <w:rPr>
          <w:lang w:bidi="he-IL"/>
        </w:rPr>
      </w:pPr>
      <w:r>
        <w:rPr>
          <w:noProof/>
          <w:lang w:eastAsia="pl-PL" w:bidi="ar-SA"/>
        </w:rPr>
        <w:drawing>
          <wp:inline distT="0" distB="0" distL="0" distR="0">
            <wp:extent cx="4991100" cy="2628900"/>
            <wp:effectExtent l="19050" t="0" r="0" b="0"/>
            <wp:docPr id="9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 xml:space="preserve">Polega ona na tym, że beneficjenci, którzy podpisali większą liczbę umów w ramach wdrażania Lokalnej Strategii Rozwoju nieco niżej oceniali komunikatywność pracowników niż ci, którzy podpisali mniejszą liczbę umów.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>Budując syntetyczny miernik charakteryzujący pracę osób zatrudnionych w biurze stowarzyszenia w kontekście procesu wdrażania Lokalnej Strategii Rozwoju przyjęto analogiczne rozwiązanie, jak w przypadku funkcjonowania biura:</w:t>
      </w:r>
    </w:p>
    <w:p w:rsidR="007F245C" w:rsidRDefault="007F245C" w:rsidP="007F245C">
      <w:pPr>
        <w:pStyle w:val="LGDPODST"/>
        <w:rPr>
          <w:rFonts w:eastAsia="Times New Roman"/>
          <w:lang w:eastAsia="pl-PL" w:bidi="he-IL"/>
        </w:rPr>
      </w:pPr>
      <w:r>
        <w:rPr>
          <w:lang w:bidi="he-IL"/>
        </w:rPr>
        <w:t>-  p</w:t>
      </w:r>
      <w:r>
        <w:rPr>
          <w:rFonts w:eastAsia="Times New Roman"/>
          <w:lang w:eastAsia="pl-PL" w:bidi="he-IL"/>
        </w:rPr>
        <w:t xml:space="preserve">o pierwsze, został wyznaczony sumaryczny miernik obejmujący sześć ocenianych aspektów/cech osób zatrudnionych w biurze. Wartość tego miernika zawiera się w przedziale od 6 (skrajna hipotetyczna sytuacja, gdyby każdy z aspektów został oceniony na najniższą ocenę 1) do 30 (skrajna hipotetyczna sytuacja, gdyby każdy z aspektów został oceniony na najwyższą ocenę 5). </w:t>
      </w:r>
    </w:p>
    <w:p w:rsidR="007F245C" w:rsidRDefault="007F245C" w:rsidP="007F245C">
      <w:pPr>
        <w:pStyle w:val="LGDPODST"/>
        <w:rPr>
          <w:rFonts w:eastAsia="Times New Roman"/>
          <w:lang w:eastAsia="pl-PL" w:bidi="he-IL"/>
        </w:rPr>
      </w:pPr>
      <w:r>
        <w:rPr>
          <w:rFonts w:eastAsia="Times New Roman"/>
          <w:lang w:eastAsia="pl-PL" w:bidi="he-IL"/>
        </w:rPr>
        <w:t xml:space="preserve">- następnie została określona przeciętna wartość tego sumarycznego wskaźnika, która wyniosła 28,0.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rFonts w:eastAsia="Times New Roman"/>
          <w:lang w:eastAsia="pl-PL" w:bidi="he-IL"/>
        </w:rPr>
        <w:t>- i w końcu została określona wartość  relatywnego wskaźnika według wzoru opisanego powyżej.</w:t>
      </w:r>
    </w:p>
    <w:p w:rsidR="007F245C" w:rsidRDefault="007F245C" w:rsidP="007F245C">
      <w:pPr>
        <w:pStyle w:val="LGDPODST"/>
        <w:ind w:firstLine="0"/>
        <w:rPr>
          <w:lang w:bidi="he-IL"/>
        </w:rPr>
      </w:pP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>Podstawiając do wzoru uzyskujemy: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position w:val="-24"/>
          <w:lang w:bidi="he-IL"/>
        </w:rPr>
        <w:object w:dxaOrig="3620" w:dyaOrig="620">
          <v:shape id="_x0000_i1027" type="#_x0000_t75" style="width:177.75pt;height:31.5pt" o:ole="">
            <v:imagedata r:id="rId18" o:title=""/>
          </v:shape>
          <o:OLEObject Type="Embed" ProgID="Equation.3" ShapeID="_x0000_i1027" DrawAspect="Content" ObjectID="_1473822937" r:id="rId19"/>
        </w:objec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>W świetle zgromadzonego materiału empirycznego ustalona wartość syntetycznego miernika oceny pracy osób zatrudnionych w biurze stowarzyszenia wyniosła blisko 92%.</w:t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lastRenderedPageBreak/>
        <w:t xml:space="preserve">W świetle kryteriów oceny wartość wskaźnika powyżej 90% oznacza stan zadawalający. Co oznacza, że praca osób zatrudnionych w biurze stowarzyszenia LGD „Natura i Kultura” przebiega bardzo sprawnie i właściwe służy prawidłowej realizacji Lokalnej Strategii Rozwoju.   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O dobrej współpracy między wnioskodawcami a stowarzyszeniem LGD „Natura i Kultura” świadczą  również odpowiedzi beneficjentów projektu na kolejne pytanie. W ankiecie badanych poproszono o ocenę dotychczasowej współpracy ze stowarzyszeniem, pomiaru dokonano na pięciopunktowej skali: 1 – bardzo nisko, 2 – nisko, 3 – przeciętnie, 4 – wysoko, 5 – bardzo wysoko. </w:t>
      </w:r>
    </w:p>
    <w:p w:rsidR="007F245C" w:rsidRDefault="007F245C" w:rsidP="007F245C">
      <w:pPr>
        <w:pStyle w:val="Tytuwykresu"/>
      </w:pPr>
      <w:r>
        <w:t xml:space="preserve">Rysunek </w:t>
      </w:r>
      <w:fldSimple w:instr=" SEQ Rysunek \* ARABIC ">
        <w:r>
          <w:rPr>
            <w:noProof/>
          </w:rPr>
          <w:t>51</w:t>
        </w:r>
      </w:fldSimple>
      <w:r>
        <w:t xml:space="preserve"> – Rozkład odpowiedzi na pytanie o ocenę dotychczasowej współpracy z LGD „Natura i Kultura”.</w:t>
      </w:r>
    </w:p>
    <w:p w:rsidR="007F245C" w:rsidRDefault="007F245C" w:rsidP="007F245C">
      <w:pPr>
        <w:pStyle w:val="LGDPODST"/>
        <w:ind w:firstLine="0"/>
        <w:jc w:val="center"/>
        <w:rPr>
          <w:lang w:bidi="he-IL"/>
        </w:rPr>
      </w:pPr>
      <w:r>
        <w:rPr>
          <w:noProof/>
          <w:lang w:eastAsia="pl-PL" w:bidi="ar-SA"/>
        </w:rPr>
        <w:drawing>
          <wp:inline distT="0" distB="0" distL="0" distR="0">
            <wp:extent cx="5010150" cy="2724150"/>
            <wp:effectExtent l="1905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>W świetle analizy okazuje się, że żaden z beneficjentów nie ocenił tej współpracy niżej niż wysoko. 47 % respondentów oceniło współpracę ze stowarzyszeniem bardzo wysoko, kolejne 53% przyznało wysoką ocenę.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Szczegółowa analiza z uwzględnieniem podziału badanych według liczby podpisanych umów pokazuje wyraźne różnice w ocenach. Okazuje się bowiem, że w podzbiorowości beneficjentów, którzy podpisali większą liczbę umów frakcja osób oceniających „bardzo wysoko” dotychczasową współpracę ze stowarzyszeniem była znacznie wyższa niż wśród tych beneficjentów, którzy podpisali mniejszą liczbę umów w ramach wdrażania Lokalnej Strategii Rozwoju. Jak można przypuszczać na ten stan rzeczy wpływ wywiera częstotliwość kontaktów ze stowarzyszeniem, w trakcie których zostają zdefiniowane nieformalne reguły współpracy. Dzięki tym wypracowanym regułom wnioskodawcy mogą oswoić się z sytuacją ubiegania się o finansowanie swoich pomysłów. I im bardziej te reguły są przejrzyste i zrozumiałe dla beneficjentów, tym bardziej są oni zadowoleni ze współpracy.  </w:t>
      </w:r>
    </w:p>
    <w:p w:rsidR="007F245C" w:rsidRDefault="007F245C" w:rsidP="007F245C">
      <w:pPr>
        <w:pStyle w:val="LGDPODST"/>
        <w:ind w:firstLine="0"/>
        <w:rPr>
          <w:lang w:bidi="he-IL"/>
        </w:rPr>
      </w:pPr>
    </w:p>
    <w:p w:rsidR="007F245C" w:rsidRDefault="007F245C" w:rsidP="007F245C">
      <w:pPr>
        <w:pStyle w:val="Tytuwykresu"/>
      </w:pPr>
      <w:r>
        <w:lastRenderedPageBreak/>
        <w:t xml:space="preserve">Rysunek </w:t>
      </w:r>
      <w:fldSimple w:instr=" SEQ Rysunek \* ARABIC ">
        <w:r>
          <w:rPr>
            <w:noProof/>
          </w:rPr>
          <w:t>52</w:t>
        </w:r>
      </w:fldSimple>
      <w:r>
        <w:t xml:space="preserve">  – Rozkład odpowiedzi na pytanie o ocenę dotychczasowej współpracy z LGD „Natura i Kultura” wśród beneficjentów różniących się liczbą podpisanych umów.</w:t>
      </w:r>
    </w:p>
    <w:p w:rsidR="007F245C" w:rsidRDefault="007F245C" w:rsidP="007F245C">
      <w:pPr>
        <w:pStyle w:val="LGDPODST"/>
        <w:ind w:firstLine="0"/>
        <w:jc w:val="center"/>
        <w:rPr>
          <w:lang w:bidi="he-IL"/>
        </w:rPr>
      </w:pPr>
      <w:r>
        <w:rPr>
          <w:noProof/>
          <w:lang w:eastAsia="pl-PL" w:bidi="ar-SA"/>
        </w:rPr>
        <w:drawing>
          <wp:inline distT="0" distB="0" distL="0" distR="0">
            <wp:extent cx="5010150" cy="2590800"/>
            <wp:effectExtent l="19050" t="0" r="0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>Innym pytaniem mającym wskaźnikować ocenę funkcjonowanie organizacyjne LGD „Natura i Kultura” było to, o zamierzenia dotyczącej dalszej współpracy. Wyniki w sposób jednoznaczny wskazują, że przeważająca większość beneficjentów projektu w przyszłości także zamierza współpracować ze stowarzyszeniem.</w:t>
      </w:r>
    </w:p>
    <w:p w:rsidR="007F245C" w:rsidRDefault="007F245C" w:rsidP="007F245C">
      <w:pPr>
        <w:pStyle w:val="Tytuwykresu"/>
      </w:pPr>
      <w:r>
        <w:t xml:space="preserve">Rysunek </w:t>
      </w:r>
      <w:fldSimple w:instr=" SEQ Rysunek \* ARABIC ">
        <w:r>
          <w:rPr>
            <w:noProof/>
          </w:rPr>
          <w:t>53</w:t>
        </w:r>
      </w:fldSimple>
      <w:r>
        <w:t xml:space="preserve"> – Rozkład odpowiedzi na pytanie o zamiar ubiegania się o środki finansowe za pośrednictwem LGD „Natura i Kultura”.</w:t>
      </w:r>
    </w:p>
    <w:p w:rsidR="007F245C" w:rsidRDefault="007F245C" w:rsidP="007F245C">
      <w:pPr>
        <w:pStyle w:val="LGDPODST"/>
        <w:ind w:firstLine="0"/>
        <w:jc w:val="center"/>
        <w:rPr>
          <w:lang w:bidi="he-IL"/>
        </w:rPr>
      </w:pPr>
      <w:r>
        <w:rPr>
          <w:noProof/>
          <w:lang w:eastAsia="pl-PL" w:bidi="ar-SA"/>
        </w:rPr>
        <w:drawing>
          <wp:inline distT="0" distB="0" distL="0" distR="0">
            <wp:extent cx="5019675" cy="2638425"/>
            <wp:effectExtent l="19050" t="0" r="9525" b="0"/>
            <wp:docPr id="1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Na końcu ankiety respondentów poproszono o to, aby scharakteryzowali swoje plany odnoszące się do kontynuacji współpracy ze stowarzyszeniem LGD „Natura i Kultura” w zakresie realizacji Lokalnej Strategii Rozwoju. W tym miejscu zastrzec należy, że odpowiedzi na </w:t>
      </w:r>
      <w:r>
        <w:rPr>
          <w:lang w:bidi="he-IL"/>
        </w:rPr>
        <w:lastRenderedPageBreak/>
        <w:t>projektujące pytania</w:t>
      </w:r>
      <w:r>
        <w:rPr>
          <w:rStyle w:val="Odwoanieprzypisudolnego"/>
          <w:lang w:bidi="he-IL"/>
        </w:rPr>
        <w:footnoteReference w:id="2"/>
      </w:r>
      <w:r>
        <w:rPr>
          <w:lang w:bidi="he-IL"/>
        </w:rPr>
        <w:t xml:space="preserve"> należy traktować z należytą ostrożnością, gdyż zamierzenia – z uwagi na zmianę okoliczności – niekoniecznie w przyszłości muszą być faktycznie podejmowane.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Badani w pytaniu wielokrotnego wyboru mogli wskazać rodzaj działań w ramach, których w przyszłości będą podejmowali starania o uzyskanie dofinansowania. Okazuje się, że w przeważającej mierze beneficjenci zamierzają się ubiegać o środki finansowe z działania „małe projekty” – ponad 50% wskazań. Duża część badanych planuje w przyszłości ubiegać się o dofinansowanie z działania „odnowa i rozwój wsi” – ponad 30% wskazań. Zdecydowanie rzadziej objęci badaniem beneficjenci wskazywali na chęć ubiegania się o dofinansowanie z działań „różnicowanie w kierunku działalności nierolniczej” oraz „tworzenie i rozwój </w:t>
      </w:r>
      <w:proofErr w:type="spellStart"/>
      <w:r>
        <w:rPr>
          <w:lang w:bidi="he-IL"/>
        </w:rPr>
        <w:t>mikroprzedsiębiorstw</w:t>
      </w:r>
      <w:proofErr w:type="spellEnd"/>
      <w:r>
        <w:rPr>
          <w:lang w:bidi="he-IL"/>
        </w:rPr>
        <w:t xml:space="preserve">”. </w:t>
      </w:r>
    </w:p>
    <w:p w:rsidR="007F245C" w:rsidRDefault="007F245C" w:rsidP="007F245C">
      <w:pPr>
        <w:pStyle w:val="Tytuwykresu"/>
      </w:pPr>
      <w:r>
        <w:t xml:space="preserve">Rysunek </w:t>
      </w:r>
      <w:fldSimple w:instr=" SEQ Rysunek \* ARABIC ">
        <w:r>
          <w:rPr>
            <w:noProof/>
          </w:rPr>
          <w:t>54</w:t>
        </w:r>
      </w:fldSimple>
      <w:r>
        <w:t xml:space="preserve"> – Rozkład odpowiedzi na pytanie o to, w ramach jakich działań zamierzają starać się o przyszłe dofinansowanie.</w:t>
      </w: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  <w:r>
        <w:rPr>
          <w:rFonts w:ascii="Arimo" w:eastAsia="SimSun" w:hAnsi="Arimo" w:cs="Arimo"/>
          <w:b/>
          <w:noProof/>
          <w:color w:val="31849B"/>
          <w:spacing w:val="24"/>
          <w:kern w:val="24"/>
          <w:position w:val="6"/>
          <w:sz w:val="30"/>
          <w:szCs w:val="30"/>
          <w:lang w:eastAsia="pl-PL"/>
        </w:rPr>
        <w:drawing>
          <wp:inline distT="0" distB="0" distL="0" distR="0">
            <wp:extent cx="5048250" cy="2514600"/>
            <wp:effectExtent l="19050" t="0" r="0" b="0"/>
            <wp:docPr id="1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5C" w:rsidRDefault="007F245C" w:rsidP="007F245C">
      <w:pPr>
        <w:pStyle w:val="LGDPODST"/>
        <w:ind w:firstLine="0"/>
        <w:rPr>
          <w:lang w:bidi="he-IL"/>
        </w:rPr>
      </w:pPr>
      <w:r>
        <w:rPr>
          <w:lang w:bidi="he-IL"/>
        </w:rPr>
        <w:t xml:space="preserve">Jak można przypuszczać rozkład zamierzeń badanych odnoszących się do zakresu dalszej współpracy jest w znacznej mierze uwarunkowany poprzez status beneficjenta, przypomnijmy że wśród badanych 80% stanowiły osoby prawne.   </w:t>
      </w: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W ankiecie zostało zamieszczone jedno pytanie otwarte, w którym respondenci mogli wpisać cel dofinansowania. A więc to, na co konkretnie chcieliby pozyskać środki finansowe w przyszłości przy współpracy ze stowarzyszeniem LGD „Natura i Kultura”. Wypowiedzi beneficjentów – w formie skróconej – przedstawiono w poniższym zestawieniu tabelaryczny. </w:t>
      </w:r>
    </w:p>
    <w:p w:rsidR="007F245C" w:rsidRDefault="007F245C" w:rsidP="007F245C">
      <w:pPr>
        <w:pStyle w:val="Tytuwykresu"/>
        <w:rPr>
          <w:lang w:bidi="he-IL"/>
        </w:rPr>
      </w:pPr>
      <w:r>
        <w:lastRenderedPageBreak/>
        <w:t xml:space="preserve">Tabela </w:t>
      </w:r>
      <w:fldSimple w:instr=" SEQ Tabela \* ARABIC ">
        <w:r>
          <w:rPr>
            <w:noProof/>
          </w:rPr>
          <w:t>20</w:t>
        </w:r>
      </w:fldSimple>
      <w:r>
        <w:t xml:space="preserve"> – Rodzaje działań, które przy współpracy z LGD „Natura i Kultura” zamierzają w przyszłości wykonać beneficjenci.</w:t>
      </w:r>
    </w:p>
    <w:tbl>
      <w:tblPr>
        <w:tblW w:w="0" w:type="auto"/>
        <w:tblInd w:w="468" w:type="dxa"/>
        <w:tblBorders>
          <w:top w:val="single" w:sz="8" w:space="0" w:color="9BBB59"/>
          <w:bottom w:val="single" w:sz="8" w:space="0" w:color="9BBB59"/>
        </w:tblBorders>
        <w:tblLook w:val="00A0"/>
      </w:tblPr>
      <w:tblGrid>
        <w:gridCol w:w="8280"/>
      </w:tblGrid>
      <w:tr w:rsidR="007F245C" w:rsidTr="007F245C">
        <w:trPr>
          <w:trHeight w:val="340"/>
        </w:trPr>
        <w:tc>
          <w:tcPr>
            <w:tcW w:w="828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rFonts w:ascii="Cambria" w:hAnsi="Cambria"/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Budowa infrastruktury(chodniki itd.)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rFonts w:ascii="Arimo" w:hAnsi="Arimo" w:cs="Arimo"/>
                <w:b/>
                <w:bCs/>
                <w:i/>
                <w:color w:val="632423"/>
                <w:spacing w:val="24"/>
                <w:kern w:val="24"/>
                <w:position w:val="6"/>
              </w:rPr>
            </w:pPr>
            <w:r>
              <w:rPr>
                <w:bCs/>
                <w:i/>
                <w:color w:val="632423"/>
                <w:lang w:bidi="he-IL"/>
              </w:rPr>
              <w:t>Place zabaw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rFonts w:ascii="Arimo" w:hAnsi="Arimo" w:cs="Arimo"/>
                <w:b/>
                <w:bCs/>
                <w:i/>
                <w:color w:val="632423"/>
                <w:spacing w:val="24"/>
                <w:kern w:val="24"/>
                <w:position w:val="6"/>
              </w:rPr>
            </w:pPr>
            <w:r>
              <w:rPr>
                <w:bCs/>
                <w:i/>
                <w:color w:val="632423"/>
                <w:lang w:bidi="he-IL"/>
              </w:rPr>
              <w:t>Infrastruktura budowlana związana z rekreacją, sportem , wypoczynkiem i kulturą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Imprezy kulturalne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Różne formy publikacji dotyczących walorów gminy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 xml:space="preserve">Promocja i podtrzymywanie  kołbielskiej </w:t>
            </w:r>
            <w:proofErr w:type="spellStart"/>
            <w:r>
              <w:rPr>
                <w:bCs/>
                <w:i/>
                <w:color w:val="632423"/>
                <w:lang w:bidi="he-IL"/>
              </w:rPr>
              <w:t>kultury</w:t>
            </w:r>
            <w:proofErr w:type="spellEnd"/>
            <w:r>
              <w:rPr>
                <w:bCs/>
                <w:i/>
                <w:color w:val="632423"/>
                <w:lang w:bidi="he-IL"/>
              </w:rPr>
              <w:t xml:space="preserve"> ludowej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Organizacja imprez integracyjno-kulturalnych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Budowa placów zabaw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Remonty i wyposażenie świetlic wiejskich</w:t>
            </w:r>
          </w:p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5C" w:rsidRDefault="007F245C">
            <w:pPr>
              <w:pStyle w:val="LGDPODST"/>
              <w:ind w:firstLine="0"/>
              <w:jc w:val="left"/>
              <w:rPr>
                <w:rFonts w:cs="Times New Roman"/>
                <w:b/>
                <w:bCs/>
                <w:iCs/>
                <w:color w:val="002060"/>
                <w:szCs w:val="22"/>
              </w:rPr>
            </w:pPr>
            <w:r>
              <w:rPr>
                <w:bCs/>
                <w:i/>
                <w:color w:val="632423"/>
                <w:lang w:bidi="he-IL"/>
              </w:rPr>
              <w:t>Budowa boiska sportowego</w:t>
            </w:r>
          </w:p>
          <w:p w:rsidR="007F245C" w:rsidRDefault="007F245C">
            <w:pPr>
              <w:spacing w:after="0" w:line="240" w:lineRule="auto"/>
              <w:rPr>
                <w:rFonts w:ascii="Arimo" w:eastAsia="SimSun" w:hAnsi="Arimo" w:cs="Arimo"/>
                <w:b/>
                <w:bCs/>
                <w:color w:val="31849B"/>
                <w:spacing w:val="24"/>
                <w:kern w:val="24"/>
                <w:position w:val="6"/>
                <w:sz w:val="30"/>
                <w:szCs w:val="30"/>
                <w:lang w:eastAsia="hi-IN" w:bidi="hi-IN"/>
              </w:rPr>
            </w:pP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Zagospodarowanie ogólnodostępnej przestrzeni publicznej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Budowa chodników w pasach dróg gminnych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Odwodnienie Centrum Glinianki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Budowa placów zabaw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Budowa siłowni plenerowych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Wykonanie ogrzewania w świetlicy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 xml:space="preserve">Wykonanie </w:t>
            </w:r>
            <w:proofErr w:type="spellStart"/>
            <w:r>
              <w:rPr>
                <w:bCs/>
                <w:i/>
                <w:color w:val="632423"/>
                <w:lang w:bidi="he-IL"/>
              </w:rPr>
              <w:t>hotspotów</w:t>
            </w:r>
            <w:proofErr w:type="spellEnd"/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Organizacja marszu historycznego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pStyle w:val="LGDPODST"/>
              <w:ind w:firstLine="0"/>
              <w:jc w:val="left"/>
              <w:rPr>
                <w:b/>
                <w:bCs/>
                <w:i/>
                <w:color w:val="632423"/>
                <w:lang w:bidi="he-IL"/>
              </w:rPr>
            </w:pPr>
            <w:r>
              <w:rPr>
                <w:bCs/>
                <w:i/>
                <w:color w:val="632423"/>
                <w:lang w:bidi="he-IL"/>
              </w:rPr>
              <w:t>Wykonanie wydawnictwa Vademecum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Arimo" w:eastAsia="SimSun" w:hAnsi="Arimo" w:cs="Arimo"/>
                <w:b/>
                <w:bCs/>
                <w:color w:val="31849B"/>
                <w:spacing w:val="24"/>
                <w:kern w:val="24"/>
                <w:position w:val="6"/>
                <w:sz w:val="30"/>
                <w:szCs w:val="30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Szkolenia mieszkańców w zakresie budowania społeczeństwa obywatelskiego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Propagowania wiedzy na temat samorządu i samorządności lokalnej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Kontynuacja budowy i wyposażenia remizy OSP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Wprowadzenie oferty zajęć kulturalnych z tańca nowoczesnego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Organizacja dziecięco-młodzieżowego zespołu ludowego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Uczestnictwo w imprezach sportowych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Działania związane z ochroną przyrody, turystyką oraz edukacją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t>Dalszy rozwój firmy , zakup samochodu ciężarowego samowyładowczego</w:t>
            </w:r>
          </w:p>
        </w:tc>
      </w:tr>
      <w:tr w:rsidR="007F245C" w:rsidTr="007F245C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7F245C" w:rsidRDefault="007F245C">
            <w:pPr>
              <w:spacing w:after="0" w:line="240" w:lineRule="auto"/>
              <w:rPr>
                <w:rFonts w:ascii="Constantia" w:eastAsia="SimSun" w:hAnsi="Constantia" w:cs="Miriam"/>
                <w:b/>
                <w:bCs/>
                <w:i/>
                <w:color w:val="632423"/>
                <w:kern w:val="2"/>
                <w:szCs w:val="24"/>
                <w:lang w:eastAsia="hi-IN" w:bidi="hi-IN"/>
              </w:rPr>
            </w:pPr>
            <w:r>
              <w:rPr>
                <w:rFonts w:ascii="Constantia" w:eastAsia="SimSun" w:hAnsi="Constantia" w:cs="Miriam"/>
                <w:bCs/>
                <w:i/>
                <w:color w:val="632423"/>
                <w:kern w:val="2"/>
                <w:szCs w:val="24"/>
                <w:lang w:eastAsia="hi-IN" w:bidi="hi-IN"/>
              </w:rPr>
              <w:lastRenderedPageBreak/>
              <w:t>Działalność usługową dla potrzeb rolnictwa</w:t>
            </w:r>
          </w:p>
        </w:tc>
      </w:tr>
    </w:tbl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</w:p>
    <w:p w:rsidR="007F245C" w:rsidRDefault="007F245C" w:rsidP="007F245C">
      <w:pPr>
        <w:pStyle w:val="LGDPODST"/>
        <w:rPr>
          <w:lang w:bidi="he-IL"/>
        </w:rPr>
      </w:pPr>
      <w:r>
        <w:rPr>
          <w:lang w:bidi="he-IL"/>
        </w:rPr>
        <w:t xml:space="preserve">Ogólnie podsumowując uzyskane wyniki należy zwrócić uwagę, że wśród przedsięwzięć, na które beneficjenci chcieliby w przyszłości uzyskać finansowanie dominowały projekty związane z rozbudową infrastruktury służącej mieszkańcom obszaru, na którym jest wdrażana Lokalna Strategia Rozwoju.  </w:t>
      </w: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</w:p>
    <w:p w:rsidR="007F245C" w:rsidRDefault="007F245C" w:rsidP="007F245C">
      <w:pPr>
        <w:jc w:val="center"/>
        <w:rPr>
          <w:rFonts w:ascii="Arimo" w:eastAsia="SimSun" w:hAnsi="Arimo" w:cs="Arimo"/>
          <w:b/>
          <w:color w:val="31849B"/>
          <w:spacing w:val="24"/>
          <w:kern w:val="24"/>
          <w:position w:val="6"/>
          <w:sz w:val="30"/>
          <w:szCs w:val="30"/>
          <w:lang w:eastAsia="hi-IN" w:bidi="hi-IN"/>
        </w:rPr>
      </w:pPr>
    </w:p>
    <w:p w:rsidR="007F245C" w:rsidRDefault="007F245C" w:rsidP="007F245C">
      <w:pPr>
        <w:pStyle w:val="Nagwek1LGD"/>
      </w:pPr>
      <w:bookmarkStart w:id="3" w:name="_Toc378147361"/>
      <w:r>
        <w:t>Aneks</w:t>
      </w:r>
      <w:bookmarkEnd w:id="3"/>
    </w:p>
    <w:p w:rsidR="007F245C" w:rsidRDefault="007F245C" w:rsidP="007F245C">
      <w:pPr>
        <w:pStyle w:val="Nagwek2LGD"/>
      </w:pPr>
      <w:bookmarkStart w:id="4" w:name="_Toc378147362"/>
      <w:r>
        <w:t>Analiza danych zastanych</w:t>
      </w:r>
      <w:bookmarkEnd w:id="4"/>
    </w:p>
    <w:p w:rsidR="007F245C" w:rsidRDefault="007F245C" w:rsidP="007F245C">
      <w:pPr>
        <w:pStyle w:val="Tytuwykresu"/>
      </w:pPr>
      <w:r>
        <w:t xml:space="preserve">Ilustracja  </w:t>
      </w:r>
      <w:fldSimple w:instr=" SEQ Ilustracja_ \* ARABIC ">
        <w:r>
          <w:rPr>
            <w:noProof/>
          </w:rPr>
          <w:t>1</w:t>
        </w:r>
      </w:fldSimple>
      <w:r>
        <w:t xml:space="preserve"> – Operacje z podpisanymi umowami o dofinansowanie w ramach działania „Odnowa i rozwój wsi”.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i wyposażenie budynku świetlicy w Starym Zambrzykowie.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31 000,00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Poprawa warunków funkcjonowania otoczenia Szkoły Podstawowej jako centrum integracji społecznej i wzmacniania więzi międzypokoleniowych wśród mieszkańców w tym poprzez urządzenie i wyposażenie ogólnodostępnego placu zabaw.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53 040,00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Karczew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świetlicy we wsi Janów.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82 349,00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Gmina 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Odnowa Centrum wsi Sobienie Szlacheckie.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102 492,00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Wiązowna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Poprawa infrastruktury technicznej w miejscowości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Emów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poprzez budowę chodnika wzdłuż ul.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Mlądzkiej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203 853,00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4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Rozwój oferty turystycznej ze szczególnych uwzględnieniem turystyki weekendowej wykorzystującej położenie obszaru „Natura i Kultura” w pobliżu Warszawy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>Gmina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Odnowa w miejscowości Szymanowice Małe.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35 329,00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świetlicy w miejscowości Warszówka.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101 829,00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Urządzenie i wyposażenie placu zabaw oraz odnowa terenów zielonych w centrum Osiecka.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119 768,00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Poprawa warunków i możliwości integracji społecznej mieszkańców poprzez adaptację i remont świetlicy wiejskiej w Augustówce.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97 000,00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>
      <w:pPr>
        <w:pStyle w:val="Tytuwykresu"/>
      </w:pPr>
    </w:p>
    <w:p w:rsidR="007F245C" w:rsidRDefault="007F245C" w:rsidP="007F245C">
      <w:pPr>
        <w:pStyle w:val="Tytuwykresu"/>
      </w:pPr>
      <w:r>
        <w:t xml:space="preserve">Operacje z podpisanymi umowami o dofinansowanie w ramach działania „Odnowa i rozwój wsi” – </w:t>
      </w:r>
      <w:proofErr w:type="spellStart"/>
      <w:r>
        <w:t>cd</w:t>
      </w:r>
      <w:proofErr w:type="spellEnd"/>
      <w: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budynku świetlicy w Dziecinowie na potrzeby Sali Koncertowo- Widowiskowej.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117 330,00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Karczew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Remont i zagospodarowanie świetlicy we wsi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Nadbrzeż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80 697,00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Plac rekreacji w miejscowości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Siedzów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jako miejsce wypoczynku i integracji społecznej.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31 000,00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Wiązowna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Zagospodarowanie przestrzeni publicznej w Centrum Wiązowny poprzez budowę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skateparku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, placu zabaw i alejek parkowych z ławkami.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90 000,00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Karczew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budynku OSP w Łukówcu z przeznaczeniem ma świetlicę wiejską.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87 255,00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>
      <w:pPr>
        <w:pStyle w:val="Tytuwykresu"/>
      </w:pPr>
      <w:r>
        <w:t xml:space="preserve">Ilustracja  </w:t>
      </w:r>
      <w:fldSimple w:instr=" SEQ Ilustracja_ \* ARABIC ">
        <w:r>
          <w:rPr>
            <w:noProof/>
          </w:rPr>
          <w:t>2</w:t>
        </w:r>
      </w:fldSimple>
      <w:r>
        <w:t xml:space="preserve"> – Operacje z podpisanymi umowami o dofinansowanie w ramach działania „Różnicowanie w kierunku działalności nierolniczej”.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>Agnieszka Ćwiek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Rozwój działalności gospodarczej w celu wzrostu dochodu i zatrudnienia poprzez wyposażenie przedsiębiorstwa w odpowiedni park maszynowy.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100 000,00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Wiesław Zduńczyk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Rozwój działalności gospodarczej w celu wzrostu dochodu poprzez wyposażenie przedsiębiorstwa w odpowiedni park maszynowy.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98 995,00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Robert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Jobda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Uzyskanie dodatkowych źródeł dochodu dla gospodarstwa rolniczego.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100 000,00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Grzegorz Piekarniak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Celem operacji jest zakup przetwórni owocowo-warzywnej na soki naturalne w celu uruchomienia pozarolniczej działalności gospodarczej.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100 000,00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Karol Krupa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Wzrost dochodów z działalności pozarolniczej poprzez zakup nowych maszyn w celu świadczenia usług wspomagających produkcję zwierzęcą.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23 950,00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/>
    <w:p w:rsidR="007F245C" w:rsidRDefault="007F245C" w:rsidP="007F245C">
      <w:pPr>
        <w:pStyle w:val="Tytuwykresu"/>
      </w:pPr>
      <w:r>
        <w:t xml:space="preserve">Ilustracja  </w:t>
      </w:r>
      <w:fldSimple w:instr=" SEQ Ilustracja_ \* ARABIC ">
        <w:r>
          <w:rPr>
            <w:noProof/>
          </w:rPr>
          <w:t>3</w:t>
        </w:r>
      </w:fldSimple>
      <w:r>
        <w:t xml:space="preserve"> – Operacje z podpisanymi umowami o dofinansowanie w ramach działania „</w:t>
      </w:r>
      <w:proofErr w:type="spellStart"/>
      <w:r>
        <w:t>Mikroprzedsiębiorczość</w:t>
      </w:r>
      <w:proofErr w:type="spellEnd"/>
      <w:r>
        <w:t>”.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Paweł Jarzębski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Utworzenie działalności małej gastronomii.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148 662,50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Marlena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Tarchalska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Wypożyczalnia sprzętu sportowego, budowlanego i ogrodowego.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99 615,00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4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Rozwój oferty turystycznej ze szczególnych uwzględnieniem turystyki weekendowej wykorzystującej położenie obszaru „Natura i Kultura” w pobliżu Warszawy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  <w:tr w:rsidR="007F245C" w:rsidTr="007F245C">
        <w:trPr>
          <w:trHeight w:hRule="exact" w:val="1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Jolanta Rawska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Powstanie nowego przedsiębiorstwa na terenie wiejskim w zakresie pozaszkolnych form edukacji sportowej oraz zajęć sportowych i rekreacyjnych poprzez budowę dwóch hal sportowych tenisowych, wykonanie specjalistycznej nawierzchni dynamicznej.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300 000,00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Paweł Pacek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Podjęcie działalności gospodarczej świadczącej usługi stolarskie w wyniku zakupu maszyn i urządzeń stolarskich.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99 755,00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>
      <w:pPr>
        <w:pStyle w:val="Tytuwykresu"/>
      </w:pPr>
      <w:r>
        <w:t xml:space="preserve">Ilustracja  </w:t>
      </w:r>
      <w:fldSimple w:instr=" SEQ Ilustracja_ \* ARABIC ">
        <w:r>
          <w:rPr>
            <w:noProof/>
          </w:rPr>
          <w:t>4</w:t>
        </w:r>
      </w:fldSimple>
      <w:r>
        <w:t xml:space="preserve"> – Operacje z podpisanymi umowami o dofinansowanie w ramach działania „Małe projekty”.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>Gmina 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Festyn integracyjno- kulturalny "Owocobranie- 2010 w gminie Sobienie Jeziory.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24 826,00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Agencja Artystyczna Towarzystwo Teatralne "Pod Górkę"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Impreza kulturalno- integracyjna „Witaj św. Janie Nepomucenie na Mazowszu”- oratorium pt. „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Nepomuk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Nadświdrzański Małe Oratorium D- moll” Jerzego Derfla oraz przedstawienie i popularyzacja kultu św. Jana Nepomucena w sześciu kościołach gmin na terenie LGD.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20 150,06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Wiązowna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świetlicy wiejskiej kluczem do poprawy infrastruktury rekreacyjno- wypoczynkowej w miejscowości Rzakta.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10 263,82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Agencja Artystyczna Towarzystwo Teatralne "Pod Górkę"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Organizacja i przeprowadzenie imprezy kulturalno- integracyjnej "Zielony mosteczek ugina się" dla mieszkańców gminy Wiązowna w Kopkach.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21 048,65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</w:r>
          </w:p>
        </w:tc>
      </w:tr>
    </w:tbl>
    <w:p w:rsidR="007F245C" w:rsidRDefault="007F245C" w:rsidP="007F245C"/>
    <w:p w:rsidR="007F245C" w:rsidRDefault="007F245C" w:rsidP="007F245C"/>
    <w:p w:rsidR="007F245C" w:rsidRDefault="007F245C" w:rsidP="007F245C">
      <w:pPr>
        <w:pStyle w:val="Tytuwykresu"/>
      </w:pPr>
      <w:r>
        <w:t xml:space="preserve">Operacje z podpisanymi umowami o dofinansowanie w ramach działania „Małe projekty” – </w:t>
      </w:r>
      <w:proofErr w:type="spellStart"/>
      <w:r>
        <w:t>cd</w:t>
      </w:r>
      <w:proofErr w:type="spellEnd"/>
      <w: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Dziecinowie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Modernizacja świetlicy wiejskiej w Dziecinowie mieszczącej się w OSP.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18 095,00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Wiązowna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Rozwój infrastruktury sportowo- rekreacyjnej poprzez budowę placu zabaw w miejscowości Majdan.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24 672,13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Rudniku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Integracja społeczna łącząca pokolenia poprzez zapewnienie podstawowych standardów funkcjonalnych budynku świetlicy wiejskiej w Rudniku.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                     9 332,65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Celestynowska Inicjatywa Samorządowa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Cykl debat publicznych "Społeczeństwo i samorządność".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                     1 855,32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Gmina 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„Boże Narodzenie w Gminie Sobienie Jeziory”- cykl działań integracyjno- kulturalnych z dziedziny teatru i edukacji regionalnej.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15 624,00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Kultywowanie i rozwój tradycji, w szczególności związanej z kulturą kołbielską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Gmina 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Jarmark świętojański pn. „Ludowe inspiracje”- cykl działań integracyjno- kulturalnych w gminie Sobienie Jeziory.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25 000,00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Kultywowanie i rozwój tradycji, w szczególności związanej z kulturą kołbielską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Dziecinowie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Modernizacja świetlicy wiejskiej w Dziecinowie mieszczącej się w budynku Ochotniczej Straży Pożarnej- utworzenie „izby tradycji”.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14 374,50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Kultywowanie i rozwój tradycji, w szczególności związanej z kulturą kołbielską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 xml:space="preserve"> Mateusz Niwiński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Kapliczka na uroczysku „Joście” w Głupiance jako atrakcja turystyczna regionu kołbielskiego.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12 855,57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3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Ochrona i eksponowanie zabytków i obiektów posiadających wartość historyczno-kulturalną dla obszaru Partnerstwa „Natura i Kultura”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Gmina 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Teatr Tradycji.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14 416,00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Gmina </w:t>
            </w:r>
          </w:p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Sobienie Jeziory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"Sobieńskie Centrum Inicjatyw" - cykl działań integracyjno-kulturalnych w gminie Sobienie Jeziory.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15 640,00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Miejsko Gminny Ośrodek Kultury w Karczewie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Wzrost integracji społecznej poprzez organizację Dożynek Gminnych w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16 342,90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/>
    <w:p w:rsidR="007F245C" w:rsidRDefault="007F245C" w:rsidP="007F245C">
      <w:pPr>
        <w:pStyle w:val="Tytuwykresu"/>
      </w:pPr>
      <w:r>
        <w:t xml:space="preserve">Operacje z podpisanymi umowami o dofinansowanie w ramach działania „Małe projekty” – </w:t>
      </w:r>
      <w:proofErr w:type="spellStart"/>
      <w:r>
        <w:t>cd</w:t>
      </w:r>
      <w:proofErr w:type="spellEnd"/>
      <w: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Wiązowna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Poprawa infrastruktury sportowo-rekreacyjnej w miejscowości Wiązowna poprzez przygotowanie boiska gruntowego i budowę placu zabaw - miejsc integracji społecznej mieszkańców.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17 349,50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Dziecinowie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Klub mieszkańca - inicjatywa społeczna podnosząca atrakcyjność miejscowości. Remont, wyposażenie i udostępnienie pomieszczeń świetlicy wiejskiej Klubu Mieszkańca w Dziecinowie.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18 324,09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Miejsko Gminny Ośrodek Kultury w Karczewie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Występy zespołu ludowego "Sołtysi" na terenie LGD Natura i Kultura.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                     4 726,17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Opracowanie i wydanie (II wydanie - uaktualnione i rozszerzone) monografii "Dzieje Osiecka" autorstwa Bogdana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Strzeżysza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dla wyeksponowania i utrwalenia w świadomości społecznej wartości historycznej i patriotycznej w wiekowej historii Osiecka.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22 764,22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3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Ochrona i eksponowanie zabytków i obiektów posiadających wartość historyczno-kulturalną dla obszaru Partnerstwa „Natura i Kultura”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Dziecinowie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Rozwój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kultury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fizycznej społeczności wiejskiej poprzez utworzenie wyposażenie i udostępnienie mini-siłowni w budynku OSP w Dziecinowie.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25 000,00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Urządzenie terenu placu rekreacyjnego w miejscowości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Sobienki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w Gminie Osieck.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17 166,70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Przedsiębiorstwo Usługowo Handlowe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Mitares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Barbara Regulska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Utworzenie wypożyczalni rowerów przy mini-bazie turystycznej w Dyzinie.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21 140,00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2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lokalnej przedsiębiorczości, w szczególności małych firm bazujących na zasobach lokalnych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Dyzinie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Remont i wyposażenie mini Domu Kultury w Dyzinie.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23 685,41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Urszula Kiljan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Wzrost atrakcyjności turystycznej obszarów wiejskich oraz promowanie aktywnego trybu życia poprzez stworzenie możliwości jazdy konnej rekreacyjnej i hipoterapii.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22 247,81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Celestynowska Inicjatywa Samorządowa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Kurier Sąsiedzki Celestynowskiej Inicjatywy Samorządowej.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                     7 120,79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9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 xml:space="preserve">Aktywizacja działań pro-społecznych obejmujących różne grupy wiekowe oraz 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promocja</w:t>
            </w:r>
            <w:proofErr w:type="spellEnd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 samorządności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</w:tbl>
    <w:p w:rsidR="007F245C" w:rsidRDefault="007F245C" w:rsidP="007F245C"/>
    <w:p w:rsidR="007F245C" w:rsidRDefault="007F245C" w:rsidP="007F245C">
      <w:pPr>
        <w:pStyle w:val="Tytuwykresu"/>
      </w:pPr>
      <w:r>
        <w:t xml:space="preserve">Operacje z podpisanymi umowami o dofinansowanie w ramach działania „Małe projekty” – </w:t>
      </w:r>
      <w:proofErr w:type="spellStart"/>
      <w:r>
        <w:t>cd</w:t>
      </w:r>
      <w:proofErr w:type="spellEnd"/>
      <w: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76"/>
        <w:gridCol w:w="1134"/>
        <w:gridCol w:w="2975"/>
        <w:gridCol w:w="993"/>
      </w:tblGrid>
      <w:tr w:rsidR="007F245C" w:rsidTr="007F245C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Nazwa beneficjenta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Tytuł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Przyznana kwota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Przedsięwzięcie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7F245C" w:rsidRDefault="007F245C">
            <w:pPr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Cel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Stanisław Górka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"Gruziński Toast" Polsko- rosyjskie sploty. Biografie. Projekt historyczno- edukacyjno- artystyczny.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24 039,33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Miejsko Gminny Ośrodek Kultury w Karczewie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Wzbudzanie aktywności społecznej dzieci i młodzieży poprzez wprowadzenie oferty zajęć kulturalnych w sołectwach gminy Karczew w Sobiekursku i Piotrowicach.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22 135,13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Miejsko Gminny Ośrodek Kultury w Karczewie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Rozwój oferty kulturalnej na terenie sołectw: Janów- Brzezinka i Całowanie.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22 117,63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Dziecinowie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Rozwój aktywności społecznej młodzieży wiejskiej poprzez utworzenie i wyposażenie zespołu wokalno- tanecznego w Dziecinowie.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22 327,00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Celestynów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Budowa infrastruktury turystycznej w formie doposażenia placu zabaw w miejscowości Glina.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19 995,23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Renata </w:t>
            </w:r>
            <w:proofErr w:type="spellStart"/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Burkowska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Kurs języka angielskiego dla dzieci i młodzieży z obszarów wiejskich jako wsparcie edukacji pozaszkolnej.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16 441,00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10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Wspieranie edukacji, w tym pozaszkolnej, oraz rozwoju zainteresowań dzieci i młodzieży jako sposób wyrównywania szans środowiskowych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lastRenderedPageBreak/>
              <w:t>Ochotnicza Straż Pożarna w Starym Zambrzykowie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Plac rekreacji w Starym Zambrzykowie jako miejsce wypoczynku i integracji społecznej.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13 627,00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Ochotnicza Straż Pożarna w Starym Zambrzykowie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Dożynki Gminne w Starym Zambrzykowie.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16 105,74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Organizacja uroczystości związanych z 50tą rocznicą powstania Ochotniczej Straży Pożarnej w Górkach.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20 593,71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6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Upowszechnienie sportu i rekreacji jako sposobu na podniesienie jakości i zadowolenia z życia na obszarze Partnerstwa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Gmina Osieck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Organizacja Dożynek Gminnych w Gminie Osieck.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18 277,00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7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Organizacja wolnego czasu ze szczególnym uwzględnieniem wypoczynku łączącego pokolenia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 xml:space="preserve">Cel ogólny nr 1 </w:t>
            </w:r>
          </w:p>
        </w:tc>
      </w:tr>
      <w:tr w:rsidR="007F245C" w:rsidTr="007F245C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Parafia p.w. św. Wita Męczennika w Karczewie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Renowacja zabytkowej figury św. Leonarda w Karczewie.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21 096,95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Przedsięwzięcie 3</w:t>
            </w: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br/>
              <w:t>Ochrona i eksponowanie zabytków i obiektów posiadających wartość historyczno-kulturalną dla obszaru Partnerstwa „Natura i Kultura”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5C" w:rsidRDefault="007F245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color w:val="000000"/>
                <w:sz w:val="17"/>
                <w:szCs w:val="17"/>
              </w:rPr>
              <w:t>Cel ogólny nr 2</w:t>
            </w:r>
          </w:p>
        </w:tc>
      </w:tr>
    </w:tbl>
    <w:p w:rsidR="007F245C" w:rsidRDefault="007F245C" w:rsidP="007F245C"/>
    <w:p w:rsidR="00AF139B" w:rsidRDefault="00AF139B"/>
    <w:sectPr w:rsidR="00AF139B" w:rsidSect="00AF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7A" w:rsidRDefault="00A5257A" w:rsidP="007F245C">
      <w:pPr>
        <w:spacing w:after="0" w:line="240" w:lineRule="auto"/>
      </w:pPr>
      <w:r>
        <w:separator/>
      </w:r>
    </w:p>
  </w:endnote>
  <w:endnote w:type="continuationSeparator" w:id="0">
    <w:p w:rsidR="00A5257A" w:rsidRDefault="00A5257A" w:rsidP="007F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7A" w:rsidRDefault="00A5257A" w:rsidP="007F245C">
      <w:pPr>
        <w:spacing w:after="0" w:line="240" w:lineRule="auto"/>
      </w:pPr>
      <w:r>
        <w:separator/>
      </w:r>
    </w:p>
  </w:footnote>
  <w:footnote w:type="continuationSeparator" w:id="0">
    <w:p w:rsidR="00A5257A" w:rsidRDefault="00A5257A" w:rsidP="007F245C">
      <w:pPr>
        <w:spacing w:after="0" w:line="240" w:lineRule="auto"/>
      </w:pPr>
      <w:r>
        <w:continuationSeparator/>
      </w:r>
    </w:p>
  </w:footnote>
  <w:footnote w:id="1">
    <w:p w:rsidR="007F245C" w:rsidRDefault="007F245C" w:rsidP="007F24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Ponadto w badaniu zrezygnowano z ocen poszczególnych pracowników biura, wiązało się to z przekonaniem, że oceniający będą mieli poważne trudności z oceną pracy pojedynczego pracownika i w efekcie będą udzielali mało wiarygodnych odpowiedzi. </w:t>
      </w:r>
    </w:p>
  </w:footnote>
  <w:footnote w:id="2">
    <w:p w:rsidR="007F245C" w:rsidRDefault="007F245C" w:rsidP="007F24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Pytania projektujące odnoszą się do sytuacji hipotetycznych lub przyszłych, ich zaletą jest możliwość określenia potencjalnych zachowań, lecz główną wadą jest to, że potencjalne zachowania bardzo często w rzeczywistości nie występują.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1762"/>
    <w:multiLevelType w:val="multilevel"/>
    <w:tmpl w:val="9A02C5C4"/>
    <w:lvl w:ilvl="0">
      <w:start w:val="1"/>
      <w:numFmt w:val="decimal"/>
      <w:pStyle w:val="Nagwek1LGD"/>
      <w:lvlText w:val="%1."/>
      <w:lvlJc w:val="left"/>
      <w:pPr>
        <w:ind w:left="1154" w:hanging="360"/>
      </w:pPr>
      <w:rPr>
        <w:rFonts w:cs="Times New Roman"/>
      </w:rPr>
    </w:lvl>
    <w:lvl w:ilvl="1">
      <w:start w:val="1"/>
      <w:numFmt w:val="decimal"/>
      <w:pStyle w:val="Nagwek2LGD"/>
      <w:isLgl/>
      <w:lvlText w:val="%1.%2"/>
      <w:lvlJc w:val="left"/>
      <w:pPr>
        <w:ind w:left="151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7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3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3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94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9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5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5C"/>
    <w:rsid w:val="007F245C"/>
    <w:rsid w:val="00A5257A"/>
    <w:rsid w:val="00A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4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45C"/>
    <w:rPr>
      <w:rFonts w:ascii="Calibri" w:eastAsia="Calibri" w:hAnsi="Calibri" w:cs="Times New Roman"/>
      <w:sz w:val="20"/>
      <w:szCs w:val="20"/>
    </w:rPr>
  </w:style>
  <w:style w:type="character" w:customStyle="1" w:styleId="LGDPODSTZnak">
    <w:name w:val="LGD_PODST Znak"/>
    <w:link w:val="LGDPODST"/>
    <w:uiPriority w:val="99"/>
    <w:locked/>
    <w:rsid w:val="007F245C"/>
    <w:rPr>
      <w:rFonts w:ascii="Constantia" w:eastAsia="SimSun" w:hAnsi="Constantia" w:cs="Miriam"/>
      <w:kern w:val="2"/>
      <w:szCs w:val="24"/>
      <w:lang w:eastAsia="hi-IN" w:bidi="hi-IN"/>
    </w:rPr>
  </w:style>
  <w:style w:type="paragraph" w:customStyle="1" w:styleId="LGDPODST">
    <w:name w:val="LGD_PODST"/>
    <w:basedOn w:val="Tekstpodstawowy"/>
    <w:link w:val="LGDPODSTZnak"/>
    <w:uiPriority w:val="99"/>
    <w:rsid w:val="007F245C"/>
    <w:pPr>
      <w:suppressAutoHyphens/>
      <w:spacing w:before="60" w:after="60" w:line="336" w:lineRule="auto"/>
      <w:ind w:firstLine="794"/>
      <w:jc w:val="both"/>
    </w:pPr>
    <w:rPr>
      <w:rFonts w:ascii="Constantia" w:eastAsia="SimSun" w:hAnsi="Constantia" w:cs="Miriam"/>
      <w:kern w:val="2"/>
      <w:szCs w:val="24"/>
      <w:lang w:eastAsia="hi-IN" w:bidi="hi-IN"/>
    </w:rPr>
  </w:style>
  <w:style w:type="character" w:customStyle="1" w:styleId="Nagwek1LGDZnak">
    <w:name w:val="Nagłówek 1 _LGD Znak"/>
    <w:link w:val="Nagwek1LGD"/>
    <w:uiPriority w:val="99"/>
    <w:locked/>
    <w:rsid w:val="007F245C"/>
    <w:rPr>
      <w:rFonts w:ascii="Arimo" w:eastAsia="SimSun" w:hAnsi="Arimo" w:cs="Arimo"/>
      <w:b/>
      <w:color w:val="31849B"/>
      <w:spacing w:val="24"/>
      <w:kern w:val="24"/>
      <w:position w:val="6"/>
      <w:sz w:val="28"/>
      <w:szCs w:val="28"/>
      <w:lang w:eastAsia="hi-IN" w:bidi="hi-IN"/>
    </w:rPr>
  </w:style>
  <w:style w:type="paragraph" w:customStyle="1" w:styleId="Nagwek1LGD">
    <w:name w:val="Nagłówek 1 _LGD"/>
    <w:basedOn w:val="LGDPODST"/>
    <w:link w:val="Nagwek1LGDZnak"/>
    <w:uiPriority w:val="99"/>
    <w:rsid w:val="007F245C"/>
    <w:pPr>
      <w:numPr>
        <w:numId w:val="1"/>
      </w:numPr>
      <w:spacing w:before="240" w:after="240"/>
      <w:outlineLvl w:val="0"/>
    </w:pPr>
    <w:rPr>
      <w:rFonts w:ascii="Arimo" w:hAnsi="Arimo" w:cs="Arimo"/>
      <w:b/>
      <w:color w:val="31849B"/>
      <w:spacing w:val="24"/>
      <w:kern w:val="24"/>
      <w:position w:val="6"/>
      <w:sz w:val="28"/>
      <w:szCs w:val="28"/>
    </w:rPr>
  </w:style>
  <w:style w:type="character" w:customStyle="1" w:styleId="TytuwykresuZnak">
    <w:name w:val="Tytuł wykresu Znak"/>
    <w:link w:val="Tytuwykresu"/>
    <w:uiPriority w:val="99"/>
    <w:locked/>
    <w:rsid w:val="007F245C"/>
    <w:rPr>
      <w:rFonts w:ascii="Arial Narrow" w:eastAsia="Calibri" w:hAnsi="Arial Narrow" w:cs="Arimo"/>
      <w:b/>
      <w:bCs/>
      <w:color w:val="17365D"/>
    </w:rPr>
  </w:style>
  <w:style w:type="paragraph" w:customStyle="1" w:styleId="Tytuwykresu">
    <w:name w:val="Tytuł wykresu"/>
    <w:basedOn w:val="Legenda"/>
    <w:link w:val="TytuwykresuZnak"/>
    <w:uiPriority w:val="99"/>
    <w:rsid w:val="007F245C"/>
    <w:pPr>
      <w:keepNext/>
      <w:spacing w:before="120" w:line="288" w:lineRule="auto"/>
      <w:ind w:left="283"/>
      <w:jc w:val="both"/>
    </w:pPr>
    <w:rPr>
      <w:rFonts w:ascii="Arial Narrow" w:hAnsi="Arial Narrow" w:cs="Arimo"/>
      <w:color w:val="17365D"/>
      <w:sz w:val="22"/>
      <w:szCs w:val="22"/>
    </w:rPr>
  </w:style>
  <w:style w:type="character" w:customStyle="1" w:styleId="Nagwek2LGDZnak">
    <w:name w:val="Nagłówek 2_LGD Znak"/>
    <w:link w:val="Nagwek2LGD"/>
    <w:uiPriority w:val="99"/>
    <w:locked/>
    <w:rsid w:val="007F245C"/>
    <w:rPr>
      <w:rFonts w:ascii="Arimo" w:eastAsia="SimSun" w:hAnsi="Arimo" w:cs="Arimo"/>
      <w:color w:val="215868"/>
      <w:kern w:val="2"/>
      <w:sz w:val="28"/>
      <w:szCs w:val="28"/>
      <w:lang w:eastAsia="hi-IN" w:bidi="hi-IN"/>
    </w:rPr>
  </w:style>
  <w:style w:type="paragraph" w:customStyle="1" w:styleId="Nagwek2LGD">
    <w:name w:val="Nagłówek 2_LGD"/>
    <w:basedOn w:val="LGDPODST"/>
    <w:link w:val="Nagwek2LGDZnak"/>
    <w:autoRedefine/>
    <w:uiPriority w:val="99"/>
    <w:rsid w:val="007F245C"/>
    <w:pPr>
      <w:numPr>
        <w:ilvl w:val="1"/>
        <w:numId w:val="1"/>
      </w:numPr>
      <w:spacing w:before="240" w:after="240"/>
    </w:pPr>
    <w:rPr>
      <w:rFonts w:ascii="Arimo" w:hAnsi="Arimo" w:cs="Arimo"/>
      <w:color w:val="215868"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7F245C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4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45C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24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5442</Words>
  <Characters>32656</Characters>
  <Application>Microsoft Office Word</Application>
  <DocSecurity>0</DocSecurity>
  <Lines>272</Lines>
  <Paragraphs>76</Paragraphs>
  <ScaleCrop>false</ScaleCrop>
  <Company/>
  <LinksUpToDate>false</LinksUpToDate>
  <CharactersWithSpaces>38022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usere2</dc:creator>
  <cp:lastModifiedBy>usere2</cp:lastModifiedBy>
  <cp:revision>1</cp:revision>
  <dcterms:created xsi:type="dcterms:W3CDTF">2014-10-03T04:28:00Z</dcterms:created>
  <dcterms:modified xsi:type="dcterms:W3CDTF">2014-10-03T04:29:00Z</dcterms:modified>
</cp:coreProperties>
</file>